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3290D" w14:textId="638A200D" w:rsidR="003A5B3A" w:rsidRPr="000021F3" w:rsidRDefault="003A5B3A" w:rsidP="003A5B3A">
      <w:pPr>
        <w:rPr>
          <w:rFonts w:ascii="Arial" w:hAnsi="Arial"/>
        </w:rPr>
      </w:pPr>
    </w:p>
    <w:p w14:paraId="2369B27B" w14:textId="77777777" w:rsidR="003A5B3A" w:rsidRDefault="003A5B3A" w:rsidP="003A5B3A">
      <w:pPr>
        <w:pStyle w:val="ZFFPTZwiti"/>
        <w:spacing w:before="0" w:after="0" w:line="240" w:lineRule="auto"/>
        <w:ind w:left="0"/>
        <w:rPr>
          <w:color w:val="44546A" w:themeColor="text2"/>
          <w:sz w:val="36"/>
        </w:rPr>
      </w:pPr>
    </w:p>
    <w:p w14:paraId="395C2AC8" w14:textId="0427A299" w:rsidR="003A5B3A" w:rsidRPr="003A5B3A" w:rsidRDefault="003A5B3A" w:rsidP="003A5B3A">
      <w:pPr>
        <w:pStyle w:val="ZFFPTZwiti"/>
        <w:spacing w:before="0" w:after="0" w:line="240" w:lineRule="auto"/>
        <w:ind w:left="0"/>
        <w:rPr>
          <w:b w:val="0"/>
          <w:bCs/>
          <w:color w:val="2E74B5" w:themeColor="accent5" w:themeShade="BF"/>
          <w:sz w:val="26"/>
          <w:szCs w:val="26"/>
          <w:u w:val="single"/>
        </w:rPr>
      </w:pPr>
      <w:r w:rsidRPr="003A5B3A">
        <w:rPr>
          <w:b w:val="0"/>
          <w:bCs/>
          <w:color w:val="2E74B5" w:themeColor="accent5" w:themeShade="BF"/>
          <w:sz w:val="26"/>
          <w:szCs w:val="26"/>
          <w:u w:val="single"/>
        </w:rPr>
        <w:t>Weißbuch über Konkurrenzklauseln und Abwerbeverbote</w:t>
      </w:r>
    </w:p>
    <w:p w14:paraId="2B34B917" w14:textId="63B1C68A" w:rsidR="003A5B3A" w:rsidRDefault="003C1B5E" w:rsidP="003A5B3A">
      <w:pPr>
        <w:pStyle w:val="ZFFPTZwiti"/>
        <w:spacing w:before="0" w:after="0" w:line="240" w:lineRule="auto"/>
        <w:ind w:left="0"/>
        <w:rPr>
          <w:color w:val="44546A" w:themeColor="text2"/>
          <w:sz w:val="36"/>
        </w:rPr>
      </w:pPr>
      <w:r>
        <w:rPr>
          <w:color w:val="2E74B5" w:themeColor="accent5" w:themeShade="BF"/>
          <w:sz w:val="36"/>
        </w:rPr>
        <w:t>Rechtsfragen</w:t>
      </w:r>
      <w:r w:rsidR="003A5B3A" w:rsidRPr="003A5B3A">
        <w:rPr>
          <w:color w:val="2E74B5" w:themeColor="accent5" w:themeShade="BF"/>
          <w:sz w:val="36"/>
        </w:rPr>
        <w:t xml:space="preserve"> bei Abtretung von Geschäftsanteilen </w:t>
      </w:r>
    </w:p>
    <w:p w14:paraId="4808AA0F" w14:textId="77777777" w:rsidR="003A5B3A" w:rsidRDefault="003A5B3A" w:rsidP="003A5B3A">
      <w:pPr>
        <w:spacing w:after="100"/>
        <w:jc w:val="both"/>
        <w:rPr>
          <w:rFonts w:ascii="Arial" w:eastAsia="Cambria" w:hAnsi="Arial" w:cs="Times New Roman"/>
          <w:sz w:val="22"/>
          <w:szCs w:val="22"/>
        </w:rPr>
      </w:pPr>
    </w:p>
    <w:p w14:paraId="0ECCD4DD" w14:textId="484BE965" w:rsidR="00FB4CEC" w:rsidRDefault="003A5B3A" w:rsidP="003A5B3A">
      <w:pPr>
        <w:spacing w:after="100"/>
        <w:jc w:val="both"/>
        <w:rPr>
          <w:rFonts w:ascii="Arial" w:eastAsia="Cambria" w:hAnsi="Arial" w:cs="Times New Roman"/>
          <w:b/>
          <w:bCs/>
          <w:sz w:val="22"/>
          <w:szCs w:val="22"/>
        </w:rPr>
      </w:pPr>
      <w:r w:rsidRPr="003C1B5E">
        <w:rPr>
          <w:rFonts w:ascii="Arial" w:eastAsia="Cambria" w:hAnsi="Arial" w:cs="Times New Roman"/>
          <w:b/>
          <w:bCs/>
          <w:sz w:val="22"/>
          <w:szCs w:val="22"/>
        </w:rPr>
        <w:t xml:space="preserve">Die Zahl der Firmenübergaben auch an Dritte steigt laufend. </w:t>
      </w:r>
    </w:p>
    <w:p w14:paraId="552D4D18" w14:textId="3712348F" w:rsidR="003A5B3A" w:rsidRPr="00FB4CEC" w:rsidRDefault="003A5B3A" w:rsidP="003A5B3A">
      <w:pPr>
        <w:spacing w:after="100"/>
        <w:jc w:val="both"/>
        <w:rPr>
          <w:rFonts w:ascii="Arial" w:eastAsia="Cambria" w:hAnsi="Arial" w:cs="Times New Roman"/>
          <w:b/>
          <w:bCs/>
          <w:sz w:val="22"/>
          <w:szCs w:val="22"/>
        </w:rPr>
      </w:pPr>
      <w:r>
        <w:rPr>
          <w:rFonts w:ascii="Arial" w:eastAsia="Cambria" w:hAnsi="Arial" w:cs="Times New Roman"/>
          <w:sz w:val="22"/>
          <w:szCs w:val="22"/>
        </w:rPr>
        <w:t xml:space="preserve">Häufig kommt es </w:t>
      </w:r>
      <w:r w:rsidR="003D50FD">
        <w:rPr>
          <w:rFonts w:ascii="Arial" w:eastAsia="Cambria" w:hAnsi="Arial" w:cs="Times New Roman"/>
          <w:sz w:val="22"/>
          <w:szCs w:val="22"/>
        </w:rPr>
        <w:t xml:space="preserve">beim Verkauf von Geschäftsanteilen </w:t>
      </w:r>
      <w:r>
        <w:rPr>
          <w:rFonts w:ascii="Arial" w:eastAsia="Cambria" w:hAnsi="Arial" w:cs="Times New Roman"/>
          <w:sz w:val="22"/>
          <w:szCs w:val="22"/>
        </w:rPr>
        <w:t xml:space="preserve">im Zusammenhang mit Konkurrenzklauseln und </w:t>
      </w:r>
      <w:r w:rsidR="003D50FD">
        <w:rPr>
          <w:rFonts w:ascii="Arial" w:eastAsia="Cambria" w:hAnsi="Arial" w:cs="Times New Roman"/>
          <w:sz w:val="22"/>
          <w:szCs w:val="22"/>
        </w:rPr>
        <w:t xml:space="preserve">– verboten sowie </w:t>
      </w:r>
      <w:r>
        <w:rPr>
          <w:rFonts w:ascii="Arial" w:eastAsia="Cambria" w:hAnsi="Arial" w:cs="Times New Roman"/>
          <w:sz w:val="22"/>
          <w:szCs w:val="22"/>
        </w:rPr>
        <w:t xml:space="preserve">Abwerbeverboten zu Rechtsstreitigkeiten. Die Rechtsanwältin </w:t>
      </w:r>
      <w:r w:rsidR="00E54568">
        <w:rPr>
          <w:rFonts w:ascii="Arial" w:eastAsia="Cambria" w:hAnsi="Arial" w:cs="Times New Roman"/>
          <w:sz w:val="22"/>
          <w:szCs w:val="22"/>
        </w:rPr>
        <w:t xml:space="preserve">Mag. </w:t>
      </w:r>
      <w:r>
        <w:rPr>
          <w:rFonts w:ascii="Arial" w:eastAsia="Cambria" w:hAnsi="Arial" w:cs="Times New Roman"/>
          <w:sz w:val="22"/>
          <w:szCs w:val="22"/>
        </w:rPr>
        <w:t xml:space="preserve">Yvonne Riffler von der Kanzlei Raits Bleiziffer </w:t>
      </w:r>
      <w:r w:rsidR="003D50FD">
        <w:rPr>
          <w:rFonts w:ascii="Arial" w:eastAsia="Cambria" w:hAnsi="Arial" w:cs="Times New Roman"/>
          <w:sz w:val="22"/>
          <w:szCs w:val="22"/>
        </w:rPr>
        <w:t xml:space="preserve">Rechtsanwälte GmbH </w:t>
      </w:r>
      <w:r>
        <w:rPr>
          <w:rFonts w:ascii="Arial" w:eastAsia="Cambria" w:hAnsi="Arial" w:cs="Times New Roman"/>
          <w:sz w:val="22"/>
          <w:szCs w:val="22"/>
        </w:rPr>
        <w:t xml:space="preserve">in Salzburg hat dazu ein Weißbuch verfasst, das die wichtigsten Streitpunkte beleuchtet. </w:t>
      </w:r>
    </w:p>
    <w:p w14:paraId="225C2D6B" w14:textId="28CB1E0F" w:rsidR="003A5B3A" w:rsidRPr="003A5B3A" w:rsidRDefault="003A5B3A" w:rsidP="003A5B3A">
      <w:pPr>
        <w:spacing w:after="100"/>
        <w:jc w:val="both"/>
        <w:rPr>
          <w:rFonts w:ascii="Arial" w:eastAsia="Cambria" w:hAnsi="Arial" w:cs="Times New Roman"/>
          <w:b/>
          <w:bCs/>
          <w:sz w:val="22"/>
          <w:szCs w:val="22"/>
        </w:rPr>
      </w:pPr>
      <w:r w:rsidRPr="003A5B3A">
        <w:rPr>
          <w:rFonts w:ascii="Arial" w:eastAsia="Cambria" w:hAnsi="Arial" w:cs="Times New Roman"/>
          <w:b/>
          <w:bCs/>
          <w:sz w:val="22"/>
          <w:szCs w:val="22"/>
        </w:rPr>
        <w:t>Schutz der Erwerber und Übergeber</w:t>
      </w:r>
    </w:p>
    <w:p w14:paraId="250E0F11" w14:textId="3330FD86" w:rsidR="003A5B3A" w:rsidRDefault="003A5B3A" w:rsidP="003A5B3A">
      <w:pPr>
        <w:spacing w:after="100"/>
        <w:jc w:val="both"/>
        <w:rPr>
          <w:rFonts w:ascii="Arial" w:eastAsia="Cambria" w:hAnsi="Arial" w:cs="Times New Roman"/>
          <w:sz w:val="22"/>
          <w:szCs w:val="22"/>
        </w:rPr>
      </w:pPr>
      <w:r w:rsidRPr="003A5B3A">
        <w:rPr>
          <w:rFonts w:ascii="Arial" w:eastAsia="Cambria" w:hAnsi="Arial" w:cs="Times New Roman"/>
          <w:sz w:val="22"/>
          <w:szCs w:val="22"/>
        </w:rPr>
        <w:t xml:space="preserve">Das Weißbuch befasst sich unter anderem mit der Frage, wie sichergestellt werden kann, dass die Klauseln und Verbote einerseits den Erwerber des Unternehmens schützen, andererseits aber auch für den Übergeber weder zeitlich noch inhaltlich überschießend sind, also einen „übergroßen Umfang“ annehmen. Zur Rechtsmaterie gibt es eine Vielzahl von Entscheidungen des </w:t>
      </w:r>
      <w:r>
        <w:rPr>
          <w:rFonts w:ascii="Arial" w:eastAsia="Cambria" w:hAnsi="Arial" w:cs="Times New Roman"/>
          <w:sz w:val="22"/>
          <w:szCs w:val="22"/>
        </w:rPr>
        <w:t>Obersten Gerichtshofes</w:t>
      </w:r>
      <w:r w:rsidRPr="003A5B3A">
        <w:rPr>
          <w:rFonts w:ascii="Arial" w:eastAsia="Cambria" w:hAnsi="Arial" w:cs="Times New Roman"/>
          <w:sz w:val="22"/>
          <w:szCs w:val="22"/>
        </w:rPr>
        <w:t xml:space="preserve">. </w:t>
      </w:r>
    </w:p>
    <w:p w14:paraId="797AD80A" w14:textId="50F5DF79" w:rsidR="003C1B5E" w:rsidRPr="00C50FA9" w:rsidRDefault="00C50FA9" w:rsidP="003A5B3A">
      <w:pPr>
        <w:spacing w:after="100"/>
        <w:jc w:val="both"/>
        <w:rPr>
          <w:rFonts w:ascii="Arial" w:eastAsia="Cambria" w:hAnsi="Arial" w:cs="Times New Roman"/>
          <w:b/>
          <w:bCs/>
          <w:sz w:val="22"/>
          <w:szCs w:val="22"/>
        </w:rPr>
      </w:pPr>
      <w:r w:rsidRPr="00C50FA9">
        <w:rPr>
          <w:rFonts w:ascii="Arial" w:eastAsia="Cambria" w:hAnsi="Arial" w:cs="Times New Roman"/>
          <w:b/>
          <w:bCs/>
          <w:sz w:val="22"/>
          <w:szCs w:val="22"/>
        </w:rPr>
        <w:t>Hohe Prozesskosten</w:t>
      </w:r>
    </w:p>
    <w:p w14:paraId="4780FDC0" w14:textId="23459B2A" w:rsidR="003C1B5E" w:rsidRDefault="003C1B5E" w:rsidP="003C1B5E">
      <w:pPr>
        <w:spacing w:after="100"/>
        <w:jc w:val="both"/>
        <w:rPr>
          <w:rFonts w:ascii="Arial" w:eastAsia="Cambria" w:hAnsi="Arial" w:cs="Times New Roman"/>
          <w:sz w:val="22"/>
          <w:szCs w:val="22"/>
        </w:rPr>
      </w:pPr>
      <w:r w:rsidRPr="003C1B5E">
        <w:rPr>
          <w:rFonts w:ascii="Arial" w:eastAsia="Cambria" w:hAnsi="Arial" w:cs="Times New Roman"/>
          <w:sz w:val="22"/>
          <w:szCs w:val="22"/>
        </w:rPr>
        <w:t>Bei Verstößen gegen Konkurrenz</w:t>
      </w:r>
      <w:r w:rsidR="003D50FD">
        <w:rPr>
          <w:rFonts w:ascii="Arial" w:eastAsia="Cambria" w:hAnsi="Arial" w:cs="Times New Roman"/>
          <w:sz w:val="22"/>
          <w:szCs w:val="22"/>
        </w:rPr>
        <w:t xml:space="preserve">klauseln </w:t>
      </w:r>
      <w:r w:rsidRPr="003C1B5E">
        <w:rPr>
          <w:rFonts w:ascii="Arial" w:eastAsia="Cambria" w:hAnsi="Arial" w:cs="Times New Roman"/>
          <w:sz w:val="22"/>
          <w:szCs w:val="22"/>
        </w:rPr>
        <w:t xml:space="preserve">und </w:t>
      </w:r>
      <w:r w:rsidR="003D50FD">
        <w:rPr>
          <w:rFonts w:ascii="Arial" w:eastAsia="Cambria" w:hAnsi="Arial" w:cs="Times New Roman"/>
          <w:sz w:val="22"/>
          <w:szCs w:val="22"/>
        </w:rPr>
        <w:t xml:space="preserve">-verbote sowie </w:t>
      </w:r>
      <w:r w:rsidRPr="003C1B5E">
        <w:rPr>
          <w:rFonts w:ascii="Arial" w:eastAsia="Cambria" w:hAnsi="Arial" w:cs="Times New Roman"/>
          <w:sz w:val="22"/>
          <w:szCs w:val="22"/>
        </w:rPr>
        <w:t>Abwerbeverbote</w:t>
      </w:r>
      <w:r w:rsidR="00C50FA9">
        <w:rPr>
          <w:rFonts w:ascii="Arial" w:eastAsia="Cambria" w:hAnsi="Arial" w:cs="Times New Roman"/>
          <w:sz w:val="22"/>
          <w:szCs w:val="22"/>
        </w:rPr>
        <w:t xml:space="preserve"> </w:t>
      </w:r>
      <w:r w:rsidRPr="003C1B5E">
        <w:rPr>
          <w:rFonts w:ascii="Arial" w:eastAsia="Cambria" w:hAnsi="Arial" w:cs="Times New Roman"/>
          <w:sz w:val="22"/>
          <w:szCs w:val="22"/>
        </w:rPr>
        <w:t>können insbesondere Unterlassungs</w:t>
      </w:r>
      <w:r>
        <w:rPr>
          <w:rFonts w:ascii="Arial" w:eastAsia="Cambria" w:hAnsi="Arial" w:cs="Times New Roman"/>
          <w:sz w:val="22"/>
          <w:szCs w:val="22"/>
        </w:rPr>
        <w:t>-</w:t>
      </w:r>
      <w:r w:rsidR="001568DC">
        <w:rPr>
          <w:rFonts w:ascii="Arial" w:eastAsia="Cambria" w:hAnsi="Arial" w:cs="Times New Roman"/>
          <w:sz w:val="22"/>
          <w:szCs w:val="22"/>
        </w:rPr>
        <w:t xml:space="preserve"> </w:t>
      </w:r>
      <w:r w:rsidRPr="003C1B5E">
        <w:rPr>
          <w:rFonts w:ascii="Arial" w:eastAsia="Cambria" w:hAnsi="Arial" w:cs="Times New Roman"/>
          <w:sz w:val="22"/>
          <w:szCs w:val="22"/>
        </w:rPr>
        <w:t>und</w:t>
      </w:r>
      <w:r>
        <w:rPr>
          <w:rFonts w:ascii="Arial" w:eastAsia="Cambria" w:hAnsi="Arial" w:cs="Times New Roman"/>
          <w:sz w:val="22"/>
          <w:szCs w:val="22"/>
        </w:rPr>
        <w:t xml:space="preserve"> </w:t>
      </w:r>
      <w:r w:rsidRPr="003C1B5E">
        <w:rPr>
          <w:rFonts w:ascii="Arial" w:eastAsia="Cambria" w:hAnsi="Arial" w:cs="Times New Roman"/>
          <w:sz w:val="22"/>
          <w:szCs w:val="22"/>
        </w:rPr>
        <w:t>Schaden</w:t>
      </w:r>
      <w:r>
        <w:rPr>
          <w:rFonts w:ascii="Arial" w:eastAsia="Cambria" w:hAnsi="Arial" w:cs="Times New Roman"/>
          <w:sz w:val="22"/>
          <w:szCs w:val="22"/>
        </w:rPr>
        <w:t>e</w:t>
      </w:r>
      <w:r w:rsidRPr="003C1B5E">
        <w:rPr>
          <w:rFonts w:ascii="Arial" w:eastAsia="Cambria" w:hAnsi="Arial" w:cs="Times New Roman"/>
          <w:sz w:val="22"/>
          <w:szCs w:val="22"/>
        </w:rPr>
        <w:t>rsatzansprüche geltend gemacht</w:t>
      </w:r>
      <w:r>
        <w:rPr>
          <w:rFonts w:ascii="Arial" w:eastAsia="Cambria" w:hAnsi="Arial" w:cs="Times New Roman"/>
          <w:sz w:val="22"/>
          <w:szCs w:val="22"/>
        </w:rPr>
        <w:t xml:space="preserve"> </w:t>
      </w:r>
      <w:r w:rsidRPr="003C1B5E">
        <w:rPr>
          <w:rFonts w:ascii="Arial" w:eastAsia="Cambria" w:hAnsi="Arial" w:cs="Times New Roman"/>
          <w:sz w:val="22"/>
          <w:szCs w:val="22"/>
        </w:rPr>
        <w:t>werden. Da im Falle eines Prozesses</w:t>
      </w:r>
      <w:r>
        <w:rPr>
          <w:rFonts w:ascii="Arial" w:eastAsia="Cambria" w:hAnsi="Arial" w:cs="Times New Roman"/>
          <w:sz w:val="22"/>
          <w:szCs w:val="22"/>
        </w:rPr>
        <w:t xml:space="preserve"> </w:t>
      </w:r>
      <w:r w:rsidRPr="003C1B5E">
        <w:rPr>
          <w:rFonts w:ascii="Arial" w:eastAsia="Cambria" w:hAnsi="Arial" w:cs="Times New Roman"/>
          <w:sz w:val="22"/>
          <w:szCs w:val="22"/>
        </w:rPr>
        <w:t>oftmals ein Gutachten notwendig</w:t>
      </w:r>
      <w:r>
        <w:rPr>
          <w:rFonts w:ascii="Arial" w:eastAsia="Cambria" w:hAnsi="Arial" w:cs="Times New Roman"/>
          <w:sz w:val="22"/>
          <w:szCs w:val="22"/>
        </w:rPr>
        <w:t xml:space="preserve"> </w:t>
      </w:r>
      <w:r w:rsidRPr="003C1B5E">
        <w:rPr>
          <w:rFonts w:ascii="Arial" w:eastAsia="Cambria" w:hAnsi="Arial" w:cs="Times New Roman"/>
          <w:sz w:val="22"/>
          <w:szCs w:val="22"/>
        </w:rPr>
        <w:t>sein wird, können die Prozesskosten</w:t>
      </w:r>
      <w:r>
        <w:rPr>
          <w:rFonts w:ascii="Arial" w:eastAsia="Cambria" w:hAnsi="Arial" w:cs="Times New Roman"/>
          <w:sz w:val="22"/>
          <w:szCs w:val="22"/>
        </w:rPr>
        <w:t xml:space="preserve"> </w:t>
      </w:r>
      <w:r w:rsidRPr="003C1B5E">
        <w:rPr>
          <w:rFonts w:ascii="Arial" w:eastAsia="Cambria" w:hAnsi="Arial" w:cs="Times New Roman"/>
          <w:sz w:val="22"/>
          <w:szCs w:val="22"/>
        </w:rPr>
        <w:t>beträchtlich</w:t>
      </w:r>
      <w:r>
        <w:rPr>
          <w:rFonts w:ascii="Arial" w:eastAsia="Cambria" w:hAnsi="Arial" w:cs="Times New Roman"/>
          <w:sz w:val="22"/>
          <w:szCs w:val="22"/>
        </w:rPr>
        <w:t xml:space="preserve"> sein</w:t>
      </w:r>
      <w:r w:rsidRPr="003C1B5E">
        <w:rPr>
          <w:rFonts w:ascii="Arial" w:eastAsia="Cambria" w:hAnsi="Arial" w:cs="Times New Roman"/>
          <w:sz w:val="22"/>
          <w:szCs w:val="22"/>
        </w:rPr>
        <w:t>.</w:t>
      </w:r>
    </w:p>
    <w:p w14:paraId="2764B427" w14:textId="7ED89FF2" w:rsidR="003A5B3A" w:rsidRPr="003A5B3A" w:rsidRDefault="003A5B3A" w:rsidP="003A5B3A">
      <w:pPr>
        <w:spacing w:after="100"/>
        <w:jc w:val="both"/>
        <w:rPr>
          <w:rFonts w:ascii="Arial" w:eastAsia="Cambria" w:hAnsi="Arial" w:cs="Times New Roman"/>
          <w:sz w:val="22"/>
          <w:szCs w:val="22"/>
        </w:rPr>
      </w:pPr>
      <w:r w:rsidRPr="003A5B3A">
        <w:rPr>
          <w:rFonts w:ascii="Arial" w:eastAsia="Cambria" w:hAnsi="Arial" w:cs="Times New Roman"/>
          <w:sz w:val="22"/>
          <w:szCs w:val="22"/>
        </w:rPr>
        <w:t xml:space="preserve">Resümee der Autorin Mag. Yvonne Riffler: „Während die zeitliche Angemessenheit mithilfe der Rechtsprechung relativ gut eingeschätzt werden kann, ist die Beurteilung der inhaltlichen </w:t>
      </w:r>
      <w:r w:rsidR="00E54568">
        <w:rPr>
          <w:rFonts w:ascii="Arial" w:eastAsia="Cambria" w:hAnsi="Arial" w:cs="Times New Roman"/>
          <w:sz w:val="22"/>
          <w:szCs w:val="22"/>
        </w:rPr>
        <w:t xml:space="preserve">und örtlichen </w:t>
      </w:r>
      <w:r w:rsidRPr="003A5B3A">
        <w:rPr>
          <w:rFonts w:ascii="Arial" w:eastAsia="Cambria" w:hAnsi="Arial" w:cs="Times New Roman"/>
          <w:sz w:val="22"/>
          <w:szCs w:val="22"/>
        </w:rPr>
        <w:t xml:space="preserve">Angemessenheit oft schwierig. Empfehlenswert ist deshalb, </w:t>
      </w:r>
      <w:r w:rsidR="003D50FD">
        <w:rPr>
          <w:rFonts w:ascii="Arial" w:eastAsia="Cambria" w:hAnsi="Arial" w:cs="Times New Roman"/>
          <w:sz w:val="22"/>
          <w:szCs w:val="22"/>
        </w:rPr>
        <w:t xml:space="preserve">Verträge mit </w:t>
      </w:r>
      <w:r w:rsidRPr="003A5B3A">
        <w:rPr>
          <w:rFonts w:ascii="Arial" w:eastAsia="Cambria" w:hAnsi="Arial" w:cs="Times New Roman"/>
          <w:sz w:val="22"/>
          <w:szCs w:val="22"/>
        </w:rPr>
        <w:t xml:space="preserve">Konkurrenzklauseln und </w:t>
      </w:r>
      <w:r w:rsidR="003D50FD">
        <w:rPr>
          <w:rFonts w:ascii="Arial" w:eastAsia="Cambria" w:hAnsi="Arial" w:cs="Times New Roman"/>
          <w:sz w:val="22"/>
          <w:szCs w:val="22"/>
        </w:rPr>
        <w:t xml:space="preserve">-verboten sowie </w:t>
      </w:r>
      <w:r w:rsidRPr="003A5B3A">
        <w:rPr>
          <w:rFonts w:ascii="Arial" w:eastAsia="Cambria" w:hAnsi="Arial" w:cs="Times New Roman"/>
          <w:sz w:val="22"/>
          <w:szCs w:val="22"/>
        </w:rPr>
        <w:t>Abwerbeverbote</w:t>
      </w:r>
      <w:r w:rsidR="003D50FD">
        <w:rPr>
          <w:rFonts w:ascii="Arial" w:eastAsia="Cambria" w:hAnsi="Arial" w:cs="Times New Roman"/>
          <w:sz w:val="22"/>
          <w:szCs w:val="22"/>
        </w:rPr>
        <w:t>n</w:t>
      </w:r>
      <w:r w:rsidR="00E54568">
        <w:rPr>
          <w:rFonts w:ascii="Arial" w:eastAsia="Cambria" w:hAnsi="Arial" w:cs="Times New Roman"/>
          <w:sz w:val="22"/>
          <w:szCs w:val="22"/>
        </w:rPr>
        <w:t>,</w:t>
      </w:r>
      <w:r w:rsidR="003D50FD">
        <w:rPr>
          <w:rFonts w:ascii="Arial" w:eastAsia="Cambria" w:hAnsi="Arial" w:cs="Times New Roman"/>
          <w:sz w:val="22"/>
          <w:szCs w:val="22"/>
        </w:rPr>
        <w:t xml:space="preserve"> bestenfalls</w:t>
      </w:r>
      <w:r w:rsidRPr="003A5B3A">
        <w:rPr>
          <w:rFonts w:ascii="Arial" w:eastAsia="Cambria" w:hAnsi="Arial" w:cs="Times New Roman"/>
          <w:sz w:val="22"/>
          <w:szCs w:val="22"/>
        </w:rPr>
        <w:t xml:space="preserve"> </w:t>
      </w:r>
      <w:r w:rsidR="00C50FA9">
        <w:rPr>
          <w:rFonts w:ascii="Arial" w:eastAsia="Cambria" w:hAnsi="Arial" w:cs="Times New Roman"/>
          <w:sz w:val="22"/>
          <w:szCs w:val="22"/>
        </w:rPr>
        <w:t xml:space="preserve">schon bei der </w:t>
      </w:r>
      <w:r w:rsidR="003D50FD">
        <w:rPr>
          <w:rFonts w:ascii="Arial" w:eastAsia="Cambria" w:hAnsi="Arial" w:cs="Times New Roman"/>
          <w:sz w:val="22"/>
          <w:szCs w:val="22"/>
        </w:rPr>
        <w:t>Vertragserrichtung</w:t>
      </w:r>
      <w:r w:rsidR="00E54568">
        <w:rPr>
          <w:rFonts w:ascii="Arial" w:eastAsia="Cambria" w:hAnsi="Arial" w:cs="Times New Roman"/>
          <w:sz w:val="22"/>
          <w:szCs w:val="22"/>
        </w:rPr>
        <w:t>,</w:t>
      </w:r>
      <w:r w:rsidR="003D50FD">
        <w:rPr>
          <w:rFonts w:ascii="Arial" w:eastAsia="Cambria" w:hAnsi="Arial" w:cs="Times New Roman"/>
          <w:sz w:val="22"/>
          <w:szCs w:val="22"/>
        </w:rPr>
        <w:t xml:space="preserve"> </w:t>
      </w:r>
      <w:r w:rsidRPr="003A5B3A">
        <w:rPr>
          <w:rFonts w:ascii="Arial" w:eastAsia="Cambria" w:hAnsi="Arial" w:cs="Times New Roman"/>
          <w:sz w:val="22"/>
          <w:szCs w:val="22"/>
        </w:rPr>
        <w:t>von einem Anwalt überprüfen zu lassen.</w:t>
      </w:r>
      <w:r w:rsidR="003C1B5E">
        <w:rPr>
          <w:rFonts w:ascii="Arial" w:eastAsia="Cambria" w:hAnsi="Arial" w:cs="Times New Roman"/>
          <w:sz w:val="22"/>
          <w:szCs w:val="22"/>
        </w:rPr>
        <w:t>“</w:t>
      </w:r>
    </w:p>
    <w:p w14:paraId="3227DC18" w14:textId="70890B77" w:rsidR="00FB4CEC" w:rsidRDefault="003C1B5E" w:rsidP="003A5B3A">
      <w:pPr>
        <w:spacing w:after="100"/>
        <w:jc w:val="both"/>
        <w:rPr>
          <w:rFonts w:ascii="Arial" w:eastAsia="Cambria" w:hAnsi="Arial" w:cs="Times New Roman"/>
          <w:sz w:val="22"/>
          <w:szCs w:val="22"/>
        </w:rPr>
      </w:pPr>
      <w:r>
        <w:rPr>
          <w:rFonts w:ascii="Arial" w:eastAsia="Cambria" w:hAnsi="Arial" w:cs="Times New Roman"/>
          <w:sz w:val="22"/>
          <w:szCs w:val="22"/>
        </w:rPr>
        <w:t>Das Werk der Autorin kann kosten</w:t>
      </w:r>
      <w:r w:rsidR="00FB4CEC">
        <w:rPr>
          <w:rFonts w:ascii="Arial" w:eastAsia="Cambria" w:hAnsi="Arial" w:cs="Times New Roman"/>
          <w:sz w:val="22"/>
          <w:szCs w:val="22"/>
        </w:rPr>
        <w:t>frei</w:t>
      </w:r>
      <w:r>
        <w:rPr>
          <w:rFonts w:ascii="Arial" w:eastAsia="Cambria" w:hAnsi="Arial" w:cs="Times New Roman"/>
          <w:sz w:val="22"/>
          <w:szCs w:val="22"/>
        </w:rPr>
        <w:t xml:space="preserve"> unter </w:t>
      </w:r>
      <w:hyperlink r:id="rId6" w:history="1">
        <w:r w:rsidRPr="001C1715">
          <w:rPr>
            <w:rStyle w:val="Hyperlink"/>
            <w:rFonts w:ascii="Arial" w:eastAsia="Cambria" w:hAnsi="Arial" w:cs="Times New Roman"/>
            <w:sz w:val="22"/>
            <w:szCs w:val="22"/>
          </w:rPr>
          <w:t>www.raits-bleiziffer.at</w:t>
        </w:r>
      </w:hyperlink>
      <w:r>
        <w:rPr>
          <w:rFonts w:ascii="Arial" w:eastAsia="Cambria" w:hAnsi="Arial" w:cs="Times New Roman"/>
          <w:sz w:val="22"/>
          <w:szCs w:val="22"/>
        </w:rPr>
        <w:t xml:space="preserve"> gelesen werden. </w:t>
      </w:r>
    </w:p>
    <w:p w14:paraId="4A3CD63F" w14:textId="77777777" w:rsidR="00FB4CEC" w:rsidRDefault="00FB4CEC" w:rsidP="003A5B3A">
      <w:pPr>
        <w:spacing w:after="100"/>
        <w:jc w:val="both"/>
        <w:rPr>
          <w:rFonts w:ascii="Arial" w:eastAsia="Cambria" w:hAnsi="Arial" w:cs="Times New Roman"/>
          <w:sz w:val="22"/>
          <w:szCs w:val="22"/>
        </w:rPr>
      </w:pPr>
    </w:p>
    <w:p w14:paraId="6A2D461F" w14:textId="0857AB12" w:rsidR="003C1B5E" w:rsidRPr="003C1B5E" w:rsidRDefault="00C50FA9" w:rsidP="00FB4CEC">
      <w:pPr>
        <w:pBdr>
          <w:top w:val="single" w:sz="4" w:space="1" w:color="auto"/>
        </w:pBdr>
        <w:spacing w:after="100"/>
        <w:jc w:val="both"/>
        <w:rPr>
          <w:rFonts w:ascii="Arial" w:eastAsia="Cambria" w:hAnsi="Arial" w:cs="Times New Roman"/>
          <w:b/>
          <w:bCs/>
          <w:sz w:val="22"/>
          <w:szCs w:val="22"/>
        </w:rPr>
      </w:pPr>
      <w:r>
        <w:rPr>
          <w:rFonts w:ascii="Arial" w:eastAsia="Cambria" w:hAnsi="Arial" w:cs="Times New Roman"/>
          <w:b/>
          <w:bCs/>
          <w:sz w:val="22"/>
          <w:szCs w:val="22"/>
        </w:rPr>
        <w:t>Fachliche Inform</w:t>
      </w:r>
      <w:r w:rsidR="003D50FD">
        <w:rPr>
          <w:rFonts w:ascii="Arial" w:eastAsia="Cambria" w:hAnsi="Arial" w:cs="Times New Roman"/>
          <w:b/>
          <w:bCs/>
          <w:sz w:val="22"/>
          <w:szCs w:val="22"/>
        </w:rPr>
        <w:t>a</w:t>
      </w:r>
      <w:r>
        <w:rPr>
          <w:rFonts w:ascii="Arial" w:eastAsia="Cambria" w:hAnsi="Arial" w:cs="Times New Roman"/>
          <w:b/>
          <w:bCs/>
          <w:sz w:val="22"/>
          <w:szCs w:val="22"/>
        </w:rPr>
        <w:t>tionen</w:t>
      </w:r>
      <w:r w:rsidR="003C1B5E" w:rsidRPr="003C1B5E">
        <w:rPr>
          <w:rFonts w:ascii="Arial" w:eastAsia="Cambria" w:hAnsi="Arial" w:cs="Times New Roman"/>
          <w:b/>
          <w:bCs/>
          <w:sz w:val="22"/>
          <w:szCs w:val="22"/>
        </w:rPr>
        <w:t xml:space="preserve">: </w:t>
      </w:r>
      <w:r>
        <w:rPr>
          <w:rFonts w:ascii="Arial" w:eastAsia="Cambria" w:hAnsi="Arial" w:cs="Times New Roman"/>
          <w:b/>
          <w:bCs/>
          <w:sz w:val="22"/>
          <w:szCs w:val="22"/>
        </w:rPr>
        <w:tab/>
      </w:r>
      <w:r>
        <w:rPr>
          <w:rFonts w:ascii="Arial" w:eastAsia="Cambria" w:hAnsi="Arial" w:cs="Times New Roman"/>
          <w:b/>
          <w:bCs/>
          <w:sz w:val="22"/>
          <w:szCs w:val="22"/>
        </w:rPr>
        <w:tab/>
        <w:t xml:space="preserve">             Kommunikationsagentur:</w:t>
      </w: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808"/>
      </w:tblGrid>
      <w:tr w:rsidR="00C50FA9" w14:paraId="5A2CF86E" w14:textId="77777777" w:rsidTr="00FB4CEC">
        <w:tc>
          <w:tcPr>
            <w:tcW w:w="4248" w:type="dxa"/>
            <w:tcBorders>
              <w:bottom w:val="single" w:sz="4" w:space="0" w:color="auto"/>
            </w:tcBorders>
          </w:tcPr>
          <w:p w14:paraId="503C2D93" w14:textId="77777777" w:rsidR="00C50FA9" w:rsidRPr="003C1B5E" w:rsidRDefault="00C50FA9" w:rsidP="00DB48EB">
            <w:pPr>
              <w:jc w:val="both"/>
              <w:rPr>
                <w:rFonts w:ascii="Arial" w:eastAsia="Cambria" w:hAnsi="Arial" w:cs="Times New Roman"/>
                <w:sz w:val="18"/>
                <w:szCs w:val="18"/>
              </w:rPr>
            </w:pPr>
            <w:r w:rsidRPr="003C1B5E">
              <w:rPr>
                <w:rFonts w:ascii="Arial" w:eastAsia="Cambria" w:hAnsi="Arial" w:cs="Times New Roman"/>
                <w:sz w:val="18"/>
                <w:szCs w:val="18"/>
              </w:rPr>
              <w:t>Raits Bleiziffer Rechtsanwälte GmbH</w:t>
            </w:r>
          </w:p>
          <w:p w14:paraId="2FAD4927" w14:textId="77777777" w:rsidR="00C50FA9" w:rsidRDefault="00C50FA9" w:rsidP="00DB48EB">
            <w:pPr>
              <w:jc w:val="both"/>
              <w:rPr>
                <w:rFonts w:ascii="Arial" w:eastAsia="Cambria" w:hAnsi="Arial" w:cs="Times New Roman"/>
                <w:sz w:val="18"/>
                <w:szCs w:val="18"/>
              </w:rPr>
            </w:pPr>
            <w:r>
              <w:rPr>
                <w:rFonts w:ascii="Arial" w:eastAsia="Cambria" w:hAnsi="Arial" w:cs="Times New Roman"/>
                <w:sz w:val="18"/>
                <w:szCs w:val="18"/>
              </w:rPr>
              <w:t>Ignaz-Rieder-Kai 11c</w:t>
            </w:r>
          </w:p>
          <w:p w14:paraId="25DC3476" w14:textId="77777777" w:rsidR="00C50FA9" w:rsidRDefault="00C50FA9" w:rsidP="00DB48EB">
            <w:pPr>
              <w:jc w:val="both"/>
              <w:rPr>
                <w:rFonts w:ascii="Arial" w:eastAsia="Cambria" w:hAnsi="Arial" w:cs="Times New Roman"/>
                <w:sz w:val="18"/>
                <w:szCs w:val="18"/>
              </w:rPr>
            </w:pPr>
            <w:r>
              <w:rPr>
                <w:rFonts w:ascii="Arial" w:eastAsia="Cambria" w:hAnsi="Arial" w:cs="Times New Roman"/>
                <w:sz w:val="18"/>
                <w:szCs w:val="18"/>
              </w:rPr>
              <w:t xml:space="preserve">5020 Salzburg </w:t>
            </w:r>
          </w:p>
          <w:p w14:paraId="0BD55DCD" w14:textId="77777777" w:rsidR="00C50FA9" w:rsidRDefault="00C50FA9" w:rsidP="00DB48EB">
            <w:pPr>
              <w:jc w:val="both"/>
              <w:rPr>
                <w:rFonts w:ascii="Arial" w:eastAsia="Cambria" w:hAnsi="Arial" w:cs="Times New Roman"/>
                <w:sz w:val="18"/>
                <w:szCs w:val="18"/>
              </w:rPr>
            </w:pPr>
          </w:p>
          <w:p w14:paraId="1CF737BF" w14:textId="77777777" w:rsidR="00C50FA9" w:rsidRDefault="00C50FA9" w:rsidP="00DB48EB">
            <w:pPr>
              <w:jc w:val="both"/>
              <w:rPr>
                <w:rFonts w:ascii="Arial" w:eastAsia="Cambria" w:hAnsi="Arial" w:cs="Times New Roman"/>
                <w:sz w:val="18"/>
                <w:szCs w:val="18"/>
              </w:rPr>
            </w:pPr>
            <w:r>
              <w:rPr>
                <w:rFonts w:ascii="Arial" w:eastAsia="Cambria" w:hAnsi="Arial" w:cs="Times New Roman"/>
                <w:sz w:val="18"/>
                <w:szCs w:val="18"/>
              </w:rPr>
              <w:t xml:space="preserve">M: </w:t>
            </w:r>
            <w:hyperlink r:id="rId7" w:history="1">
              <w:r w:rsidRPr="001C1715">
                <w:rPr>
                  <w:rStyle w:val="Hyperlink"/>
                  <w:rFonts w:ascii="Arial" w:eastAsia="Cambria" w:hAnsi="Arial" w:cs="Times New Roman"/>
                  <w:sz w:val="18"/>
                  <w:szCs w:val="18"/>
                </w:rPr>
                <w:t>law@raits-bleiziffer.at</w:t>
              </w:r>
            </w:hyperlink>
          </w:p>
          <w:p w14:paraId="53226AC9" w14:textId="77777777" w:rsidR="00C50FA9" w:rsidRDefault="00C50FA9" w:rsidP="00DB48EB">
            <w:pPr>
              <w:jc w:val="both"/>
              <w:rPr>
                <w:rFonts w:ascii="Arial" w:eastAsia="Cambria" w:hAnsi="Arial" w:cs="Times New Roman"/>
                <w:sz w:val="18"/>
                <w:szCs w:val="18"/>
              </w:rPr>
            </w:pPr>
            <w:r>
              <w:rPr>
                <w:rFonts w:ascii="Arial" w:eastAsia="Cambria" w:hAnsi="Arial" w:cs="Times New Roman"/>
                <w:sz w:val="18"/>
                <w:szCs w:val="18"/>
              </w:rPr>
              <w:t>T: +43 662 622301</w:t>
            </w:r>
          </w:p>
          <w:p w14:paraId="6A677709" w14:textId="77777777" w:rsidR="00C50FA9" w:rsidRDefault="00C50FA9" w:rsidP="00DB48EB">
            <w:pPr>
              <w:jc w:val="both"/>
              <w:rPr>
                <w:rFonts w:ascii="Arial" w:eastAsia="Cambria" w:hAnsi="Arial" w:cs="Times New Roman"/>
                <w:sz w:val="18"/>
                <w:szCs w:val="18"/>
              </w:rPr>
            </w:pPr>
            <w:r>
              <w:rPr>
                <w:rFonts w:ascii="Arial" w:eastAsia="Cambria" w:hAnsi="Arial" w:cs="Times New Roman"/>
                <w:sz w:val="18"/>
                <w:szCs w:val="18"/>
              </w:rPr>
              <w:t>www.raits-bleiziffer.at</w:t>
            </w:r>
          </w:p>
          <w:p w14:paraId="0B40D73F" w14:textId="77777777" w:rsidR="00C50FA9" w:rsidRDefault="00C50FA9" w:rsidP="00DB48EB">
            <w:pPr>
              <w:jc w:val="both"/>
              <w:rPr>
                <w:rFonts w:ascii="Arial" w:eastAsia="Cambria" w:hAnsi="Arial" w:cs="Times New Roman"/>
                <w:sz w:val="18"/>
                <w:szCs w:val="18"/>
              </w:rPr>
            </w:pPr>
          </w:p>
        </w:tc>
        <w:tc>
          <w:tcPr>
            <w:tcW w:w="4808" w:type="dxa"/>
          </w:tcPr>
          <w:p w14:paraId="2218C7C3" w14:textId="3576BB9B" w:rsidR="00C50FA9" w:rsidRPr="003C1B5E" w:rsidRDefault="00C50FA9" w:rsidP="00DB48EB">
            <w:pPr>
              <w:jc w:val="both"/>
              <w:rPr>
                <w:rFonts w:ascii="Arial" w:eastAsia="Cambria" w:hAnsi="Arial" w:cs="Times New Roman"/>
                <w:sz w:val="18"/>
                <w:szCs w:val="18"/>
              </w:rPr>
            </w:pPr>
            <w:r>
              <w:rPr>
                <w:rFonts w:ascii="Arial" w:eastAsia="Cambria" w:hAnsi="Arial" w:cs="Times New Roman"/>
                <w:sz w:val="18"/>
                <w:szCs w:val="18"/>
              </w:rPr>
              <w:t xml:space="preserve">Dr. Wolfgang Immerschitt </w:t>
            </w:r>
          </w:p>
          <w:p w14:paraId="3B87326D" w14:textId="7DF0292F" w:rsidR="00C50FA9" w:rsidRDefault="00C50FA9" w:rsidP="00DB48EB">
            <w:pPr>
              <w:jc w:val="both"/>
              <w:rPr>
                <w:rFonts w:ascii="Arial" w:eastAsia="Cambria" w:hAnsi="Arial" w:cs="Times New Roman"/>
                <w:sz w:val="18"/>
                <w:szCs w:val="18"/>
              </w:rPr>
            </w:pPr>
            <w:proofErr w:type="spellStart"/>
            <w:r>
              <w:rPr>
                <w:rFonts w:ascii="Arial" w:eastAsia="Cambria" w:hAnsi="Arial" w:cs="Times New Roman"/>
                <w:sz w:val="18"/>
                <w:szCs w:val="18"/>
              </w:rPr>
              <w:t>Gislarweg</w:t>
            </w:r>
            <w:proofErr w:type="spellEnd"/>
            <w:r>
              <w:rPr>
                <w:rFonts w:ascii="Arial" w:eastAsia="Cambria" w:hAnsi="Arial" w:cs="Times New Roman"/>
                <w:sz w:val="18"/>
                <w:szCs w:val="18"/>
              </w:rPr>
              <w:t xml:space="preserve"> 10</w:t>
            </w:r>
          </w:p>
          <w:p w14:paraId="0168FB5F" w14:textId="5DA742B6" w:rsidR="00C50FA9" w:rsidRDefault="00C50FA9" w:rsidP="00DB48EB">
            <w:pPr>
              <w:jc w:val="both"/>
              <w:rPr>
                <w:rFonts w:ascii="Arial" w:eastAsia="Cambria" w:hAnsi="Arial" w:cs="Times New Roman"/>
                <w:sz w:val="18"/>
                <w:szCs w:val="18"/>
              </w:rPr>
            </w:pPr>
            <w:r>
              <w:rPr>
                <w:rFonts w:ascii="Arial" w:eastAsia="Cambria" w:hAnsi="Arial" w:cs="Times New Roman"/>
                <w:sz w:val="18"/>
                <w:szCs w:val="18"/>
              </w:rPr>
              <w:t xml:space="preserve">5300 Hallwang </w:t>
            </w:r>
          </w:p>
          <w:p w14:paraId="4CA65670" w14:textId="77777777" w:rsidR="00C50FA9" w:rsidRDefault="00C50FA9" w:rsidP="00DB48EB">
            <w:pPr>
              <w:jc w:val="both"/>
              <w:rPr>
                <w:rFonts w:ascii="Arial" w:eastAsia="Cambria" w:hAnsi="Arial" w:cs="Times New Roman"/>
                <w:sz w:val="18"/>
                <w:szCs w:val="18"/>
              </w:rPr>
            </w:pPr>
          </w:p>
          <w:p w14:paraId="0407EA30" w14:textId="12BA3DD6" w:rsidR="00C50FA9" w:rsidRDefault="00C50FA9" w:rsidP="00DB48EB">
            <w:pPr>
              <w:jc w:val="both"/>
              <w:rPr>
                <w:rFonts w:ascii="Arial" w:eastAsia="Cambria" w:hAnsi="Arial" w:cs="Times New Roman"/>
                <w:sz w:val="18"/>
                <w:szCs w:val="18"/>
              </w:rPr>
            </w:pPr>
            <w:r>
              <w:rPr>
                <w:rFonts w:ascii="Arial" w:eastAsia="Cambria" w:hAnsi="Arial" w:cs="Times New Roman"/>
                <w:sz w:val="18"/>
                <w:szCs w:val="18"/>
              </w:rPr>
              <w:t>M: wolfgang.immerschitt@kommunikationsmanager.at</w:t>
            </w:r>
          </w:p>
          <w:p w14:paraId="3EAFF2AD" w14:textId="264F4C01" w:rsidR="00C50FA9" w:rsidRDefault="00C50FA9" w:rsidP="00DB48EB">
            <w:pPr>
              <w:jc w:val="both"/>
              <w:rPr>
                <w:rFonts w:ascii="Arial" w:eastAsia="Cambria" w:hAnsi="Arial" w:cs="Times New Roman"/>
                <w:sz w:val="18"/>
                <w:szCs w:val="18"/>
              </w:rPr>
            </w:pPr>
            <w:r>
              <w:rPr>
                <w:rFonts w:ascii="Arial" w:eastAsia="Cambria" w:hAnsi="Arial" w:cs="Times New Roman"/>
                <w:sz w:val="18"/>
                <w:szCs w:val="18"/>
              </w:rPr>
              <w:t>T: +676 848497100</w:t>
            </w:r>
          </w:p>
          <w:p w14:paraId="7EFDBC5F" w14:textId="4FD58748" w:rsidR="00C50FA9" w:rsidRDefault="00B863E8" w:rsidP="00DB48EB">
            <w:pPr>
              <w:jc w:val="both"/>
              <w:rPr>
                <w:rFonts w:ascii="Arial" w:eastAsia="Cambria" w:hAnsi="Arial" w:cs="Times New Roman"/>
                <w:sz w:val="18"/>
                <w:szCs w:val="18"/>
              </w:rPr>
            </w:pPr>
            <w:hyperlink r:id="rId8" w:history="1">
              <w:r w:rsidR="00DB48EB" w:rsidRPr="001C1715">
                <w:rPr>
                  <w:rStyle w:val="Hyperlink"/>
                  <w:rFonts w:ascii="Arial" w:eastAsia="Cambria" w:hAnsi="Arial" w:cs="Times New Roman"/>
                  <w:sz w:val="18"/>
                  <w:szCs w:val="18"/>
                </w:rPr>
                <w:t>www.kommunikationsmanager.at</w:t>
              </w:r>
            </w:hyperlink>
          </w:p>
          <w:p w14:paraId="67308D6F" w14:textId="77777777" w:rsidR="00C50FA9" w:rsidRPr="003C1B5E" w:rsidRDefault="00C50FA9" w:rsidP="00DB48EB">
            <w:pPr>
              <w:jc w:val="both"/>
              <w:rPr>
                <w:rFonts w:ascii="Arial" w:eastAsia="Cambria" w:hAnsi="Arial" w:cs="Times New Roman"/>
                <w:sz w:val="18"/>
                <w:szCs w:val="18"/>
              </w:rPr>
            </w:pPr>
          </w:p>
          <w:p w14:paraId="518E4654" w14:textId="77777777" w:rsidR="00C50FA9" w:rsidRDefault="00C50FA9" w:rsidP="00DB48EB">
            <w:pPr>
              <w:jc w:val="both"/>
              <w:rPr>
                <w:rFonts w:ascii="Arial" w:eastAsia="Cambria" w:hAnsi="Arial" w:cs="Times New Roman"/>
                <w:sz w:val="18"/>
                <w:szCs w:val="18"/>
              </w:rPr>
            </w:pPr>
          </w:p>
        </w:tc>
      </w:tr>
      <w:tr w:rsidR="00DB48EB" w14:paraId="5F327EAE" w14:textId="77777777" w:rsidTr="00FB4CEC">
        <w:tc>
          <w:tcPr>
            <w:tcW w:w="4248" w:type="dxa"/>
            <w:tcBorders>
              <w:top w:val="single" w:sz="4" w:space="0" w:color="auto"/>
            </w:tcBorders>
          </w:tcPr>
          <w:p w14:paraId="5485DBB0" w14:textId="577D0205" w:rsidR="00DB48EB" w:rsidRDefault="003D50FD" w:rsidP="00DB48EB">
            <w:pPr>
              <w:rPr>
                <w:rFonts w:ascii="Arial" w:eastAsia="Cambria" w:hAnsi="Arial" w:cs="Arial"/>
                <w:sz w:val="18"/>
                <w:szCs w:val="18"/>
              </w:rPr>
            </w:pPr>
            <w:r>
              <w:rPr>
                <w:rFonts w:ascii="Arial" w:eastAsia="Cambria" w:hAnsi="Arial" w:cs="Arial"/>
                <w:sz w:val="18"/>
                <w:szCs w:val="18"/>
              </w:rPr>
              <w:t>J</w:t>
            </w:r>
            <w:r w:rsidR="00DB48EB" w:rsidRPr="00DB48EB">
              <w:rPr>
                <w:rFonts w:ascii="Arial" w:eastAsia="Cambria" w:hAnsi="Arial" w:cs="Arial"/>
                <w:sz w:val="18"/>
                <w:szCs w:val="18"/>
              </w:rPr>
              <w:t xml:space="preserve">uristin und Weißbuchautorin </w:t>
            </w:r>
          </w:p>
          <w:p w14:paraId="2E49D537" w14:textId="77777777" w:rsidR="00DB48EB" w:rsidRDefault="00DB48EB" w:rsidP="00DB48EB">
            <w:pPr>
              <w:rPr>
                <w:rFonts w:ascii="Arial" w:eastAsia="Cambria" w:hAnsi="Arial" w:cs="Arial"/>
                <w:sz w:val="18"/>
                <w:szCs w:val="18"/>
              </w:rPr>
            </w:pPr>
            <w:r w:rsidRPr="00DB48EB">
              <w:rPr>
                <w:rFonts w:ascii="Arial" w:eastAsia="Cambria" w:hAnsi="Arial" w:cs="Arial"/>
                <w:sz w:val="18"/>
                <w:szCs w:val="18"/>
              </w:rPr>
              <w:t xml:space="preserve">Mag. Yvonne Riffler </w:t>
            </w:r>
          </w:p>
          <w:p w14:paraId="6185767F" w14:textId="77777777" w:rsidR="00DB48EB" w:rsidRDefault="00DB48EB" w:rsidP="00DB48EB">
            <w:pPr>
              <w:rPr>
                <w:rFonts w:ascii="Arial" w:eastAsia="Cambria" w:hAnsi="Arial" w:cs="Arial"/>
                <w:sz w:val="18"/>
                <w:szCs w:val="18"/>
              </w:rPr>
            </w:pPr>
          </w:p>
          <w:p w14:paraId="581FC5F8" w14:textId="77777777" w:rsidR="00DB48EB" w:rsidRDefault="00DB48EB" w:rsidP="00DB48EB">
            <w:pPr>
              <w:rPr>
                <w:rFonts w:ascii="Arial" w:eastAsia="Cambria" w:hAnsi="Arial" w:cs="Arial"/>
                <w:sz w:val="18"/>
                <w:szCs w:val="18"/>
              </w:rPr>
            </w:pPr>
          </w:p>
          <w:p w14:paraId="55FAA125" w14:textId="77777777" w:rsidR="00DB48EB" w:rsidRDefault="00DB48EB" w:rsidP="00DB48EB">
            <w:pPr>
              <w:rPr>
                <w:rFonts w:ascii="Arial" w:eastAsia="Cambria" w:hAnsi="Arial" w:cs="Arial"/>
                <w:sz w:val="18"/>
                <w:szCs w:val="18"/>
              </w:rPr>
            </w:pPr>
          </w:p>
          <w:p w14:paraId="0B04F16B" w14:textId="77777777" w:rsidR="00DB48EB" w:rsidRDefault="00DB48EB" w:rsidP="00DB48EB">
            <w:pPr>
              <w:rPr>
                <w:rFonts w:ascii="Arial" w:eastAsia="Cambria" w:hAnsi="Arial" w:cs="Arial"/>
                <w:sz w:val="18"/>
                <w:szCs w:val="18"/>
              </w:rPr>
            </w:pPr>
          </w:p>
          <w:p w14:paraId="57AE5BB4" w14:textId="77777777" w:rsidR="00DB48EB" w:rsidRDefault="00DB48EB" w:rsidP="00DB48EB">
            <w:pPr>
              <w:rPr>
                <w:rFonts w:ascii="Arial" w:eastAsia="Cambria" w:hAnsi="Arial" w:cs="Arial"/>
                <w:sz w:val="18"/>
                <w:szCs w:val="18"/>
              </w:rPr>
            </w:pPr>
          </w:p>
          <w:p w14:paraId="5700ED51" w14:textId="77777777" w:rsidR="00DB48EB" w:rsidRDefault="00DB48EB" w:rsidP="00DB48EB">
            <w:pPr>
              <w:rPr>
                <w:rFonts w:ascii="Arial" w:eastAsia="Cambria" w:hAnsi="Arial" w:cs="Arial"/>
                <w:sz w:val="18"/>
                <w:szCs w:val="18"/>
              </w:rPr>
            </w:pPr>
          </w:p>
          <w:p w14:paraId="44EF407A" w14:textId="77777777" w:rsidR="00DB48EB" w:rsidRDefault="00DB48EB" w:rsidP="00DB48EB">
            <w:pPr>
              <w:rPr>
                <w:rFonts w:ascii="Arial" w:eastAsia="Cambria" w:hAnsi="Arial" w:cs="Arial"/>
                <w:sz w:val="18"/>
                <w:szCs w:val="18"/>
              </w:rPr>
            </w:pPr>
          </w:p>
          <w:p w14:paraId="599D2FF7" w14:textId="5CAF1CC3" w:rsidR="00DB48EB" w:rsidRPr="00DB48EB" w:rsidRDefault="00DB48EB" w:rsidP="00DB48EB">
            <w:pPr>
              <w:rPr>
                <w:rFonts w:ascii="Arial" w:eastAsia="Cambria" w:hAnsi="Arial" w:cs="Arial"/>
                <w:i/>
                <w:iCs/>
                <w:sz w:val="18"/>
                <w:szCs w:val="18"/>
              </w:rPr>
            </w:pPr>
            <w:r w:rsidRPr="00DB48EB">
              <w:rPr>
                <w:rFonts w:ascii="Arial" w:eastAsia="Cambria" w:hAnsi="Arial" w:cs="Arial"/>
                <w:i/>
                <w:iCs/>
                <w:sz w:val="18"/>
                <w:szCs w:val="18"/>
              </w:rPr>
              <w:t xml:space="preserve">Foto: </w:t>
            </w:r>
            <w:proofErr w:type="spellStart"/>
            <w:r w:rsidRPr="00DB48EB">
              <w:rPr>
                <w:rFonts w:ascii="Arial" w:eastAsia="Cambria" w:hAnsi="Arial" w:cs="Arial"/>
                <w:i/>
                <w:iCs/>
                <w:sz w:val="18"/>
                <w:szCs w:val="18"/>
              </w:rPr>
              <w:t>Raits</w:t>
            </w:r>
            <w:proofErr w:type="spellEnd"/>
            <w:r w:rsidRPr="00DB48EB">
              <w:rPr>
                <w:rFonts w:ascii="Arial" w:eastAsia="Cambria" w:hAnsi="Arial" w:cs="Arial"/>
                <w:i/>
                <w:iCs/>
                <w:sz w:val="18"/>
                <w:szCs w:val="18"/>
              </w:rPr>
              <w:t>-Bleiziffer/</w:t>
            </w:r>
            <w:proofErr w:type="spellStart"/>
            <w:r w:rsidRPr="00DB48EB">
              <w:rPr>
                <w:rFonts w:ascii="Arial" w:eastAsia="Cambria" w:hAnsi="Arial" w:cs="Arial"/>
                <w:i/>
                <w:iCs/>
                <w:sz w:val="18"/>
                <w:szCs w:val="18"/>
              </w:rPr>
              <w:t>Stürzenbaum</w:t>
            </w:r>
            <w:proofErr w:type="spellEnd"/>
          </w:p>
          <w:p w14:paraId="7ACC32E0" w14:textId="128299FA" w:rsidR="00DB48EB" w:rsidRPr="00DB48EB" w:rsidRDefault="00DB48EB" w:rsidP="00DB48EB">
            <w:pPr>
              <w:rPr>
                <w:rFonts w:ascii="Arial" w:eastAsia="Cambria" w:hAnsi="Arial" w:cs="Arial"/>
                <w:i/>
                <w:iCs/>
                <w:sz w:val="18"/>
                <w:szCs w:val="18"/>
              </w:rPr>
            </w:pPr>
            <w:r w:rsidRPr="00DB48EB">
              <w:rPr>
                <w:rFonts w:ascii="Arial" w:eastAsia="Cambria" w:hAnsi="Arial" w:cs="Arial"/>
                <w:i/>
                <w:iCs/>
                <w:sz w:val="18"/>
                <w:szCs w:val="18"/>
              </w:rPr>
              <w:t xml:space="preserve">Abdruck bei Nennung des </w:t>
            </w:r>
            <w:proofErr w:type="spellStart"/>
            <w:r w:rsidRPr="00DB48EB">
              <w:rPr>
                <w:rFonts w:ascii="Arial" w:eastAsia="Cambria" w:hAnsi="Arial" w:cs="Arial"/>
                <w:i/>
                <w:iCs/>
                <w:sz w:val="18"/>
                <w:szCs w:val="18"/>
              </w:rPr>
              <w:t>Fotocredits</w:t>
            </w:r>
            <w:proofErr w:type="spellEnd"/>
            <w:r w:rsidRPr="00DB48EB">
              <w:rPr>
                <w:rFonts w:ascii="Arial" w:eastAsia="Cambria" w:hAnsi="Arial" w:cs="Arial"/>
                <w:i/>
                <w:iCs/>
                <w:sz w:val="18"/>
                <w:szCs w:val="18"/>
              </w:rPr>
              <w:t xml:space="preserve"> kostenfrei</w:t>
            </w:r>
          </w:p>
        </w:tc>
        <w:tc>
          <w:tcPr>
            <w:tcW w:w="4808" w:type="dxa"/>
          </w:tcPr>
          <w:p w14:paraId="06C8C4CC" w14:textId="3626EC79" w:rsidR="00DB48EB" w:rsidRDefault="00DB48EB" w:rsidP="00DB48EB">
            <w:pPr>
              <w:tabs>
                <w:tab w:val="left" w:pos="2928"/>
              </w:tabs>
              <w:jc w:val="both"/>
              <w:rPr>
                <w:rFonts w:ascii="Arial" w:eastAsia="Cambria" w:hAnsi="Arial" w:cs="Times New Roman"/>
                <w:sz w:val="18"/>
                <w:szCs w:val="18"/>
              </w:rPr>
            </w:pPr>
            <w:r>
              <w:rPr>
                <w:rFonts w:ascii="Arial" w:eastAsia="Cambria" w:hAnsi="Arial" w:cs="Arial"/>
                <w:noProof/>
                <w:sz w:val="22"/>
                <w:szCs w:val="22"/>
              </w:rPr>
              <w:drawing>
                <wp:inline distT="0" distB="0" distL="0" distR="0" wp14:anchorId="7DBAC98D" wp14:editId="01D31485">
                  <wp:extent cx="1389583" cy="1478280"/>
                  <wp:effectExtent l="0" t="0" r="0" b="0"/>
                  <wp:docPr id="4" name="Grafik 4" descr="Ein Bild, das Person,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Frau enthält.&#10;&#10;Automatisch generierte Beschreibung"/>
                          <pic:cNvPicPr/>
                        </pic:nvPicPr>
                        <pic:blipFill rotWithShape="1">
                          <a:blip r:embed="rId9" cstate="print">
                            <a:extLst>
                              <a:ext uri="{28A0092B-C50C-407E-A947-70E740481C1C}">
                                <a14:useLocalDpi xmlns:a14="http://schemas.microsoft.com/office/drawing/2010/main" val="0"/>
                              </a:ext>
                            </a:extLst>
                          </a:blip>
                          <a:srcRect t="21226" b="8019"/>
                          <a:stretch/>
                        </pic:blipFill>
                        <pic:spPr bwMode="auto">
                          <a:xfrm>
                            <a:off x="0" y="0"/>
                            <a:ext cx="1406095" cy="1495846"/>
                          </a:xfrm>
                          <a:prstGeom prst="rect">
                            <a:avLst/>
                          </a:prstGeom>
                          <a:ln>
                            <a:noFill/>
                          </a:ln>
                          <a:extLst>
                            <a:ext uri="{53640926-AAD7-44D8-BBD7-CCE9431645EC}">
                              <a14:shadowObscured xmlns:a14="http://schemas.microsoft.com/office/drawing/2010/main"/>
                            </a:ext>
                          </a:extLst>
                        </pic:spPr>
                      </pic:pic>
                    </a:graphicData>
                  </a:graphic>
                </wp:inline>
              </w:drawing>
            </w:r>
          </w:p>
        </w:tc>
      </w:tr>
    </w:tbl>
    <w:p w14:paraId="1BA3675B" w14:textId="38237602" w:rsidR="008F6081" w:rsidRDefault="008F6081" w:rsidP="003D50FD"/>
    <w:sectPr w:rsidR="008F6081" w:rsidSect="00DB48EB">
      <w:headerReference w:type="default" r:id="rId10"/>
      <w:footerReference w:type="even" r:id="rId11"/>
      <w:footerReference w:type="default" r:id="rId12"/>
      <w:pgSz w:w="11900" w:h="16840"/>
      <w:pgMar w:top="675" w:right="1417" w:bottom="1134" w:left="1417" w:header="708" w:footer="27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A392D" w14:textId="77777777" w:rsidR="00B863E8" w:rsidRDefault="00B863E8" w:rsidP="003A5B3A">
      <w:r>
        <w:separator/>
      </w:r>
    </w:p>
  </w:endnote>
  <w:endnote w:type="continuationSeparator" w:id="0">
    <w:p w14:paraId="1F7E9372" w14:textId="77777777" w:rsidR="00B863E8" w:rsidRDefault="00B863E8" w:rsidP="003A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426769122"/>
      <w:docPartObj>
        <w:docPartGallery w:val="Page Numbers (Bottom of Page)"/>
        <w:docPartUnique/>
      </w:docPartObj>
    </w:sdtPr>
    <w:sdtEndPr>
      <w:rPr>
        <w:rStyle w:val="Seitenzahl"/>
      </w:rPr>
    </w:sdtEndPr>
    <w:sdtContent>
      <w:p w14:paraId="00FE928D" w14:textId="77777777" w:rsidR="00D440EF" w:rsidRDefault="002C393F" w:rsidP="000B67A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148EA16" w14:textId="77777777" w:rsidR="00D440EF" w:rsidRDefault="00B863E8" w:rsidP="00D440E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17944" w14:textId="77777777" w:rsidR="00D440EF" w:rsidRDefault="00B863E8" w:rsidP="000B67A6">
    <w:pPr>
      <w:pStyle w:val="Fuzeile"/>
      <w:framePr w:wrap="none" w:vAnchor="text" w:hAnchor="margin" w:xAlign="right" w:y="1"/>
      <w:rPr>
        <w:rStyle w:val="Seitenzahl"/>
      </w:rPr>
    </w:pPr>
  </w:p>
  <w:p w14:paraId="7325D821" w14:textId="77777777" w:rsidR="00D440EF" w:rsidRDefault="00B863E8" w:rsidP="00D440E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62C60" w14:textId="77777777" w:rsidR="00B863E8" w:rsidRDefault="00B863E8" w:rsidP="003A5B3A">
      <w:r>
        <w:separator/>
      </w:r>
    </w:p>
  </w:footnote>
  <w:footnote w:type="continuationSeparator" w:id="0">
    <w:p w14:paraId="533C18ED" w14:textId="77777777" w:rsidR="00B863E8" w:rsidRDefault="00B863E8" w:rsidP="003A5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464B0" w14:textId="0E8E076E" w:rsidR="00E12F13" w:rsidRPr="00077490" w:rsidRDefault="003A5B3A" w:rsidP="000021F3">
    <w:pPr>
      <w:pStyle w:val="Kopfzeile"/>
      <w:jc w:val="right"/>
      <w:rPr>
        <w:rFonts w:asciiTheme="majorHAnsi" w:hAnsiTheme="majorHAnsi" w:cstheme="majorHAnsi"/>
        <w:sz w:val="36"/>
        <w:szCs w:val="36"/>
        <w:lang w:val="de-AT"/>
      </w:rPr>
    </w:pPr>
    <w:r>
      <w:rPr>
        <w:rFonts w:ascii="Arial" w:hAnsi="Arial"/>
        <w:noProof/>
      </w:rPr>
      <w:drawing>
        <wp:inline distT="0" distB="0" distL="0" distR="0" wp14:anchorId="0806449C" wp14:editId="3284CFEF">
          <wp:extent cx="2125980" cy="314934"/>
          <wp:effectExtent l="0" t="0" r="0" b="317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292690" cy="339630"/>
                  </a:xfrm>
                  <a:prstGeom prst="rect">
                    <a:avLst/>
                  </a:prstGeom>
                </pic:spPr>
              </pic:pic>
            </a:graphicData>
          </a:graphic>
        </wp:inline>
      </w:drawing>
    </w:r>
    <w:r>
      <w:rPr>
        <w:rFonts w:asciiTheme="majorHAnsi" w:hAnsiTheme="majorHAnsi" w:cstheme="majorHAnsi"/>
        <w:sz w:val="36"/>
        <w:szCs w:val="36"/>
        <w:lang w:val="de-AT"/>
      </w:rPr>
      <w:t xml:space="preserve">                                   </w:t>
    </w:r>
    <w:r w:rsidR="002C393F" w:rsidRPr="00077490">
      <w:rPr>
        <w:rFonts w:asciiTheme="majorHAnsi" w:hAnsiTheme="majorHAnsi" w:cstheme="majorHAnsi"/>
        <w:sz w:val="36"/>
        <w:szCs w:val="36"/>
        <w:lang w:val="de-AT"/>
      </w:rPr>
      <w:t>Medieninformation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B3A"/>
    <w:rsid w:val="001568DC"/>
    <w:rsid w:val="002C393F"/>
    <w:rsid w:val="003A5B3A"/>
    <w:rsid w:val="003C1B5E"/>
    <w:rsid w:val="003D50FD"/>
    <w:rsid w:val="003F057C"/>
    <w:rsid w:val="008F6081"/>
    <w:rsid w:val="00B863E8"/>
    <w:rsid w:val="00BD64B0"/>
    <w:rsid w:val="00C50FA9"/>
    <w:rsid w:val="00DB48EB"/>
    <w:rsid w:val="00E54568"/>
    <w:rsid w:val="00FB4C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60C6"/>
  <w15:chartTrackingRefBased/>
  <w15:docId w15:val="{518F0F6F-F4C0-8545-97FA-A6F3770D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B3A"/>
    <w:rPr>
      <w:rFonts w:eastAsiaTheme="minorEastAsia"/>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FFPTZwiti">
    <w:name w:val="ZFF_PT_Zwiti"/>
    <w:basedOn w:val="Standard"/>
    <w:qFormat/>
    <w:rsid w:val="003A5B3A"/>
    <w:pPr>
      <w:spacing w:before="120" w:after="120" w:line="360" w:lineRule="auto"/>
      <w:ind w:left="284"/>
    </w:pPr>
    <w:rPr>
      <w:rFonts w:ascii="Arial" w:eastAsia="Cambria" w:hAnsi="Arial" w:cs="Times New Roman"/>
      <w:b/>
      <w:sz w:val="20"/>
    </w:rPr>
  </w:style>
  <w:style w:type="paragraph" w:styleId="Kopfzeile">
    <w:name w:val="header"/>
    <w:basedOn w:val="Standard"/>
    <w:link w:val="KopfzeileZchn"/>
    <w:uiPriority w:val="99"/>
    <w:unhideWhenUsed/>
    <w:rsid w:val="003A5B3A"/>
    <w:pPr>
      <w:tabs>
        <w:tab w:val="center" w:pos="4536"/>
        <w:tab w:val="right" w:pos="9072"/>
      </w:tabs>
    </w:pPr>
  </w:style>
  <w:style w:type="character" w:customStyle="1" w:styleId="KopfzeileZchn">
    <w:name w:val="Kopfzeile Zchn"/>
    <w:basedOn w:val="Absatz-Standardschriftart"/>
    <w:link w:val="Kopfzeile"/>
    <w:uiPriority w:val="99"/>
    <w:rsid w:val="003A5B3A"/>
    <w:rPr>
      <w:rFonts w:eastAsiaTheme="minorEastAsia"/>
      <w:lang w:val="de-DE"/>
    </w:rPr>
  </w:style>
  <w:style w:type="paragraph" w:styleId="Fuzeile">
    <w:name w:val="footer"/>
    <w:basedOn w:val="Standard"/>
    <w:link w:val="FuzeileZchn"/>
    <w:uiPriority w:val="99"/>
    <w:unhideWhenUsed/>
    <w:rsid w:val="003A5B3A"/>
    <w:pPr>
      <w:tabs>
        <w:tab w:val="center" w:pos="4536"/>
        <w:tab w:val="right" w:pos="9072"/>
      </w:tabs>
    </w:pPr>
  </w:style>
  <w:style w:type="character" w:customStyle="1" w:styleId="FuzeileZchn">
    <w:name w:val="Fußzeile Zchn"/>
    <w:basedOn w:val="Absatz-Standardschriftart"/>
    <w:link w:val="Fuzeile"/>
    <w:uiPriority w:val="99"/>
    <w:rsid w:val="003A5B3A"/>
    <w:rPr>
      <w:rFonts w:eastAsiaTheme="minorEastAsia"/>
      <w:lang w:val="de-DE"/>
    </w:rPr>
  </w:style>
  <w:style w:type="character" w:styleId="Hyperlink">
    <w:name w:val="Hyperlink"/>
    <w:basedOn w:val="Absatz-Standardschriftart"/>
    <w:rsid w:val="003A5B3A"/>
    <w:rPr>
      <w:color w:val="0000FF"/>
      <w:u w:val="single"/>
    </w:rPr>
  </w:style>
  <w:style w:type="character" w:styleId="Seitenzahl">
    <w:name w:val="page number"/>
    <w:basedOn w:val="Absatz-Standardschriftart"/>
    <w:semiHidden/>
    <w:unhideWhenUsed/>
    <w:rsid w:val="003A5B3A"/>
  </w:style>
  <w:style w:type="character" w:styleId="NichtaufgelsteErwhnung">
    <w:name w:val="Unresolved Mention"/>
    <w:basedOn w:val="Absatz-Standardschriftart"/>
    <w:uiPriority w:val="99"/>
    <w:semiHidden/>
    <w:unhideWhenUsed/>
    <w:rsid w:val="003C1B5E"/>
    <w:rPr>
      <w:color w:val="605E5C"/>
      <w:shd w:val="clear" w:color="auto" w:fill="E1DFDD"/>
    </w:rPr>
  </w:style>
  <w:style w:type="table" w:styleId="Tabellenraster">
    <w:name w:val="Table Grid"/>
    <w:basedOn w:val="NormaleTabelle"/>
    <w:uiPriority w:val="39"/>
    <w:rsid w:val="00C50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munikationsmanager.a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w@raits-bleiziffer.at"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its-bleiziffer.a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tif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c:creator>
  <cp:keywords/>
  <dc:description/>
  <cp:lastModifiedBy>wi</cp:lastModifiedBy>
  <cp:revision>5</cp:revision>
  <cp:lastPrinted>2021-05-17T09:25:00Z</cp:lastPrinted>
  <dcterms:created xsi:type="dcterms:W3CDTF">2021-05-14T11:24:00Z</dcterms:created>
  <dcterms:modified xsi:type="dcterms:W3CDTF">2021-05-25T07:04:00Z</dcterms:modified>
</cp:coreProperties>
</file>